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51" w:rsidRDefault="008F616A">
      <w:pPr>
        <w:widowControl w:val="0"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eastAsia="it-IT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51160" cy="586080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377" t="-344" r="-376" b="-344"/>
                    <a:stretch>
                      <a:fillRect/>
                    </a:stretch>
                  </pic:blipFill>
                  <pic:spPr>
                    <a:xfrm>
                      <a:off x="0" y="0"/>
                      <a:ext cx="551160" cy="58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000000"/>
          <w:sz w:val="22"/>
          <w:szCs w:val="22"/>
          <w:lang w:eastAsia="it-IT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26400" cy="370080"/>
            <wp:effectExtent l="0" t="0" r="0" b="0"/>
            <wp:wrapSquare wrapText="bothSides" distT="0" distB="0" distL="0" distR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l="-90" t="-376" r="-76" b="-375"/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37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"/>
        <w:gridCol w:w="3060"/>
        <w:gridCol w:w="2922"/>
        <w:gridCol w:w="1947"/>
        <w:gridCol w:w="519"/>
        <w:gridCol w:w="936"/>
      </w:tblGrid>
      <w:tr w:rsidR="00C64A51">
        <w:trPr>
          <w:trHeight w:val="819"/>
        </w:trPr>
        <w:tc>
          <w:tcPr>
            <w:tcW w:w="6228" w:type="dxa"/>
            <w:gridSpan w:val="3"/>
            <w:shd w:val="clear" w:color="auto" w:fill="FFFFFF"/>
          </w:tcPr>
          <w:p w:rsidR="00C64A51" w:rsidRDefault="008F616A">
            <w:pPr>
              <w:shd w:val="clear" w:color="auto" w:fill="FFFFFF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l="-237" t="-680" r="-237" b="-6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0" w:type="dxa"/>
            <w:gridSpan w:val="2"/>
            <w:shd w:val="clear" w:color="auto" w:fill="FFFFFF"/>
          </w:tcPr>
          <w:p w:rsidR="00C64A51" w:rsidRDefault="00C64A51">
            <w:pPr>
              <w:shd w:val="clear" w:color="auto" w:fill="FFFFFF"/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auto" w:fill="FFFFFF"/>
          </w:tcPr>
          <w:p w:rsidR="00C64A51" w:rsidRDefault="008F616A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377" t="-344" r="-376" b="-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4A51" w:rsidRDefault="00C64A51">
            <w:pPr>
              <w:shd w:val="clear" w:color="auto" w:fill="FFFFFF"/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C64A51" w:rsidRDefault="008F616A">
            <w:pPr>
              <w:shd w:val="clear" w:color="auto" w:fill="FFFFFF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-89" t="-376" r="-64" b="-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A51">
        <w:tc>
          <w:tcPr>
            <w:tcW w:w="236" w:type="dxa"/>
            <w:shd w:val="clear" w:color="auto" w:fill="FFFFFF"/>
          </w:tcPr>
          <w:p w:rsidR="00C64A51" w:rsidRDefault="00C64A51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399" w:type="dxa"/>
            <w:gridSpan w:val="5"/>
            <w:shd w:val="clear" w:color="auto" w:fill="FFFFFF"/>
          </w:tcPr>
          <w:p w:rsidR="00C64A51" w:rsidRDefault="008F616A">
            <w:pPr>
              <w:shd w:val="clear" w:color="auto" w:fill="FFFFFF"/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C64A51">
        <w:tc>
          <w:tcPr>
            <w:tcW w:w="236" w:type="dxa"/>
            <w:shd w:val="clear" w:color="auto" w:fill="FFFFFF"/>
          </w:tcPr>
          <w:p w:rsidR="00C64A51" w:rsidRDefault="00C64A51">
            <w:pPr>
              <w:shd w:val="clear" w:color="auto" w:fill="FFFFFF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3065" w:type="dxa"/>
            <w:tcBorders>
              <w:bottom w:val="single" w:sz="8" w:space="0" w:color="3333FF"/>
            </w:tcBorders>
            <w:shd w:val="clear" w:color="auto" w:fill="FFFFFF"/>
          </w:tcPr>
          <w:p w:rsidR="00C64A51" w:rsidRDefault="008F616A">
            <w:pPr>
              <w:shd w:val="clear" w:color="auto" w:fill="FFFFFF"/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487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:rsidR="00C64A51" w:rsidRDefault="008F616A">
            <w:pPr>
              <w:shd w:val="clear" w:color="auto" w:fill="FFFFFF"/>
              <w:jc w:val="center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1457" w:type="dxa"/>
            <w:gridSpan w:val="2"/>
            <w:tcBorders>
              <w:bottom w:val="single" w:sz="8" w:space="0" w:color="3333FF"/>
            </w:tcBorders>
            <w:shd w:val="clear" w:color="auto" w:fill="FFFFFF"/>
          </w:tcPr>
          <w:p w:rsidR="00C64A51" w:rsidRDefault="008F616A">
            <w:pPr>
              <w:shd w:val="clear" w:color="auto" w:fill="FFFFFF"/>
              <w:jc w:val="right"/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C64A51" w:rsidRDefault="00C64A51"/>
    <w:p w:rsidR="00C64A51" w:rsidRDefault="008F616A">
      <w:pPr>
        <w:shd w:val="clear" w:color="auto" w:fill="FFFFFF"/>
        <w:tabs>
          <w:tab w:val="center" w:pos="4819"/>
          <w:tab w:val="right" w:pos="9638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>ATTIVITA’ SVOLTA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color w:val="000000"/>
          <w:sz w:val="28"/>
          <w:szCs w:val="28"/>
        </w:rPr>
        <w:t>L DOCENTE A.S. 20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>/2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:rsidR="00C64A51" w:rsidRDefault="00C64A51">
      <w:pPr>
        <w:shd w:val="clear" w:color="auto" w:fill="FFFFFF"/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260" w:type="dxa"/>
        <w:tblLayout w:type="fixed"/>
        <w:tblLook w:val="0000" w:firstRow="0" w:lastRow="0" w:firstColumn="0" w:lastColumn="0" w:noHBand="0" w:noVBand="0"/>
      </w:tblPr>
      <w:tblGrid>
        <w:gridCol w:w="3294"/>
        <w:gridCol w:w="6726"/>
        <w:gridCol w:w="45"/>
      </w:tblGrid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pStyle w:val="Titolo4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cognome del docente GUADAGNI VIVIANA- SALVADORINI ALESSANDRA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Disciplina insegnata  ANATOMIA UMANA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Libro/i di testo in uso </w:t>
            </w:r>
            <w:r w:rsidRPr="008F616A">
              <w:rPr>
                <w:rFonts w:ascii="Calibri" w:eastAsia="Calibri" w:hAnsi="Calibri" w:cs="Calibri"/>
                <w:i w:val="0"/>
              </w:rPr>
              <w:t>“La Dermatologia per operatori del settore estetico” Gabriella Neri San Marco Edizioni</w:t>
            </w:r>
          </w:p>
          <w:p w:rsidR="00C64A51" w:rsidRDefault="00C64A5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3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64A51" w:rsidRDefault="008F616A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C64A51" w:rsidRDefault="008F61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3° O</w:t>
            </w:r>
          </w:p>
        </w:tc>
        <w:tc>
          <w:tcPr>
            <w:tcW w:w="6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64A51" w:rsidRDefault="008F616A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  <w:i w:val="0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C64A51" w:rsidRDefault="008F616A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Operatori del benessere</w:t>
            </w:r>
          </w:p>
          <w:p w:rsidR="00C64A51" w:rsidRDefault="00C64A5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Obiettivi trasversali indicati nel documento di programmazione di classe e individuati dal dipartimento </w:t>
            </w:r>
          </w:p>
          <w:p w:rsidR="00C64A51" w:rsidRDefault="008F616A">
            <w:pPr>
              <w:shd w:val="clear" w:color="auto" w:fill="FFFFFF"/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Obiettivi indicati dal CdC.</w:t>
            </w:r>
          </w:p>
          <w:p w:rsidR="00C64A51" w:rsidRDefault="00C64A51">
            <w:pPr>
              <w:shd w:val="clear" w:color="auto" w:fill="FFFFFF"/>
              <w:spacing w:line="276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8F61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ind w:hanging="283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Le competenze e gli obiettivi sono stati individuati tenendo conto delle generali finalità educative e formative del nostro Istituto e delle decisioni dei Dipartimenti, dopo una attenta valutazione della situazione di partenza della classe e in continuità con il lavoro degli anni precedenti. Il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C.d.C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. ritiene che gli studenti debbano acquisire le competenze chiave di cittadinanza. Individua quindi come competenze chiave: imparare ad imparare acquisire un metodo di studio, </w:t>
            </w:r>
            <w:proofErr w:type="spellStart"/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progettare,comunicare</w:t>
            </w:r>
            <w:proofErr w:type="spellEnd"/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, collaborare e partecipare, agire in modo autonomo e responsabile, risolvere problemi, individuare collegamenti e  relazioni, acquisire ed interpretare informazioni. 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Il Consiglio concorda le seguenti strategie metodologiche comuni da mettere in atto per il conseguimento delle competenze e degli obiettivi trasversali </w:t>
            </w: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formulati :</w:t>
            </w:r>
            <w:proofErr w:type="gramEnd"/>
          </w:p>
          <w:p w:rsidR="00C64A51" w:rsidRDefault="008F61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ind w:hanging="283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coerenza nello sviluppo della programmazione in classe con le finalità e gli obiettivi generali del PTOF e con quelli specifici disciplinari,</w:t>
            </w:r>
          </w:p>
          <w:p w:rsidR="00C64A51" w:rsidRDefault="008F61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ind w:hanging="283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promozione della cultura della collaborazione e della condivisione, </w:t>
            </w:r>
          </w:p>
          <w:p w:rsidR="00C64A51" w:rsidRDefault="008F61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ind w:hanging="283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proposta  dei</w:t>
            </w:r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contenuti disciplinari in modo “problematico” per stimolare </w:t>
            </w:r>
          </w:p>
          <w:p w:rsidR="00C64A51" w:rsidRDefault="008F61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ind w:hanging="283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l’interesse e la partecipazione attiva dei discenti, fornendo all’occorrenza spiegazioni individualizzate e rispettando i diversi tempi di assimilazione dei contenuti disciplinari,</w:t>
            </w:r>
          </w:p>
          <w:p w:rsidR="00C64A51" w:rsidRDefault="008F616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120" w:line="288" w:lineRule="auto"/>
              <w:ind w:hanging="283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utilizzazione  di attività laboratoriali in piccoli gruppi, attività di tutoring e aiuto tra pari, attività di cooperative learning.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3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Indicare le competenze che si intende sviluppare o i traguardi di competenza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60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Le competenze saranno articolate facendo riferimento agli obiettivi relativi ai principali assi culturali.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60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Competenze ed obiettivi relazionali e comportamentali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60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•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Rispettare leggi e regolamenti </w:t>
            </w: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( puntualità</w:t>
            </w:r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nell’ingresso, nelle giustificazioni, nell’esecuzione dei compiti assegnati), rispettare il patrimonio della scuola( laboratori, spazi comuni, classe), lavorare in gruppo partecipando in modo propositivo, rispettando ed ascoltando le opinioni altrui senza sovrapposizione e nel rispetto dei ruoli.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 w:line="360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Competenze ed obiettivi cognitivi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Il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C.d.C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individua come competenze chiave : acquisire un metodo di studio, progettare, comunicare ,collaborare  e partecipare, agire in modo autonomo e responsabile, risolvere problemi, individuare collegamenti e relazioni, acquisire ed interpretare informazioni.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Descrizione di conoscenze e abilità, evidenziando quelle essenziali o minime e elencando eventualmente la sequenza di unità didattiche </w:t>
            </w:r>
          </w:p>
          <w:p w:rsidR="00C64A51" w:rsidRDefault="008F61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8280"/>
              </w:tabs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Titolo U.F.: ANA 3.1 +   TEC 3.1                                                                      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8280"/>
              </w:tabs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Titolo attività di riferimento: Microbiologia, fisiologia e invecchiamento cutaneo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  <w:tab w:val="left" w:pos="1800"/>
                <w:tab w:val="left" w:pos="8280"/>
              </w:tabs>
              <w:rPr>
                <w:rFonts w:ascii="Calibri" w:eastAsia="Calibri" w:hAnsi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Competenze: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Riconosce le modificazioni tipiche della pelle nelle diverse età della vita.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Collegare l’invecchiamento della pelle con cambiamenti ormonali.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Collegare le caratteristiche della cute all’alimentazione.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Conoscenze: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Recupero delle nozioni anatomiche della pelle e degli annessi.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La microflora cutanea e fattori di controllo.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Fisiologia e biochimica della pelle.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Modificazioni della pelle con l’età.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Fattori nutrizionali cutanei.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Gli inestetismi della pelle.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Invecchiamento (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intrinseco o genetico ed estrinseco),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radicali liberi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photoaging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. </w:t>
            </w: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Abilità: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Saper descrivere la struttura e le funzioni della pelle e degli organi annessi.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Saper descrivere le diverse caratteristiche della pelle.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i cambiamenti della cute in relazione all’alimentazione e all’età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(inestetismi).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Obiettivi minimi: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Riconosce le diverse caratteristiche della pelle.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Saper collegare globalmente le modificazioni della pelle con i cambiamenti ormonali e con i regimi alimentari.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Saper individuare inestetismi.</w:t>
            </w: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Titolo U.F.:   ANA3.2                                                                                                    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Titolo attività di riferimento: DERMATOLOGIA 1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Competenze: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Orientarsi nel riconoscimento delle principali lesioni benigne della pelle.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Conoscenze: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Dermatiti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e dermatosi: differenze principali e generalità. Le principali forme di dermatiti (allergica,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dac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e atopica).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Differenze tra ghiandole endocrine ed esocrine. Infiammazioni ghiandolari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( cenni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). Patologie ed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inesetismi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trattabili e </w:t>
            </w: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Patologie  ghiandole</w:t>
            </w:r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sebacee, sudoripare e dei peli. Anomalie delle unghie. Differenza tra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adiposita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localizzat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 e 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PEFS  (</w:t>
            </w:r>
            <w:proofErr w:type="spellStart"/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panniculopatia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edemo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- fibrosclerotica). Definizioni di normopeso, sovrappeso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ed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obesità. BMI o IMC (indice di massa corporea); massa magra e massa grassa; significato di perdita ed acquisto di peso.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Cenni di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Patologie cutanee a carico dei capillari e dei vasi venosi</w:t>
            </w: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Abilità: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Descrivere </w:t>
            </w:r>
            <w:r>
              <w:rPr>
                <w:rFonts w:ascii="Calibri" w:eastAsia="Calibri" w:hAnsi="Calibri"/>
                <w:sz w:val="20"/>
                <w:szCs w:val="20"/>
              </w:rPr>
              <w:t>e saper riconoscere dermatosi e dermatiti e psoriasi. Differenze principali tra infiammazione ed infezione.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Saper descrivere discromie cutanee.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Classificare le patologie degli annessi cutanei.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Elencare le patologie cutanee conseguenti a patologie dell’apparato circolatorio.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Obiettivi minimi: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Orientarsi nel riconoscimento delle principali lesioni benigne della pelle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(alterazioni pre-cancerose: es. cisti seborroiche, verruche seborroiche, cheratosi attiniche, fibromi).</w:t>
            </w: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 xml:space="preserve">Titolo U.F.:   ANA3.3                                                                                                     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Titolo attività di riferimento: DERMATOLOGIA 2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Competenze: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Orientarsi nel distinguere le principali caratteristiche delle lesioni benigne e maligne studiate.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Conosce i principi base di prevenzione dei tumori maligni della pelle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(epiteliomi e melanomi).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Conoscenze:</w:t>
            </w:r>
            <w:r>
              <w:rPr>
                <w:rFonts w:cs="Times New Roman"/>
                <w:color w:val="000000"/>
              </w:rPr>
              <w:t xml:space="preserve">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 principali tipi di nevi e le discromie da mancanza ed eccesso di melanina.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Lesioni precancerose.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Cisti, verruche, callosità.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Psoriasi, pitiriasi, lichen</w:t>
            </w:r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I tumori maligni della pelle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(epiteliomi e melanomi).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Abilità: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le lesioni precancerose, i tumori benigni e maligni della pelle, le cisti.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Descrivere i principali tipi di discromie della pelle.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Obiettivi minimi: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Orientarsi nel distinguere le principali caratteristiche delle lesioni benigne e maligne studiate.</w:t>
            </w: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Attività o moduli didattici concordati nel CdC a livello interdisciplinare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- Educazione civica</w:t>
            </w:r>
          </w:p>
          <w:p w:rsidR="00C64A51" w:rsidRDefault="008F616A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"salute e sicurezza sul lavoro" legge di riferimento 81/2008 ,con particolare enfasi sui rischi relativi all'ambito di lavoro nei centri estetici, igiene del luogo di lavoro:  disinfezione, sanificazione e uso dei DPI</w:t>
            </w: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Tipologie di verifica, elaborati ed esercitazioni </w:t>
            </w:r>
          </w:p>
          <w:p w:rsidR="00C64A51" w:rsidRDefault="008F616A">
            <w:pPr>
              <w:shd w:val="clear" w:color="auto" w:fill="FFFFFF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(Indicare un eventuale orientamento personale diverso da quello inserito nel PTOF e specificare quali hanno carattere formativo e quale sommativo; esplicit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are se previste le tipologie di verifica legate ad ADID o attività di DDI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)</w:t>
            </w:r>
          </w:p>
          <w:p w:rsidR="00C64A51" w:rsidRDefault="00C64A51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8F616A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Verifiche orali sia formative che sommative, sia individuali che di gruppo.</w:t>
            </w:r>
          </w:p>
          <w:p w:rsidR="00C64A51" w:rsidRDefault="008F616A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Verifiche scritte sia strutturate che semi strutturate.</w:t>
            </w:r>
          </w:p>
          <w:p w:rsidR="00C64A51" w:rsidRDefault="008F616A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Si prevede anche una verifica aperta.</w:t>
            </w:r>
          </w:p>
          <w:p w:rsidR="00C64A51" w:rsidRDefault="00C64A51">
            <w:pPr>
              <w:shd w:val="clear" w:color="auto" w:fill="FFFFFF"/>
              <w:ind w:left="36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Criteri per le valutazioni </w:t>
            </w: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 xml:space="preserve">(fare riferimento anche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ai criteri di valutazione delle ADID, delibera CD 28/05/2020)</w:t>
            </w:r>
          </w:p>
          <w:p w:rsidR="00C64A51" w:rsidRDefault="008F616A">
            <w:pPr>
              <w:shd w:val="clear" w:color="auto" w:fill="FFFFFF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(se differiscono rispetto a quanto inserito nel PTOF)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Si terrà conto del livello di conoscenza e di comprensione dei contenuti, delle modalità di esposizione e dell’appropriatezza lessicale, delle capacità di elaborazione, dell’attenzione e della partecipazione alle lezioni sia in presenza che in </w:t>
            </w:r>
            <w:proofErr w:type="gram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DAD,  dell’impegno</w:t>
            </w:r>
            <w:proofErr w:type="gram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nello studio a casa, dei progressi o regressi durante il percorso. 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Si terrà altresì conto del rispetto delle regole condivise</w:t>
            </w:r>
          </w:p>
          <w:p w:rsidR="00C64A51" w:rsidRDefault="00C64A51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  <w:tr w:rsidR="00C64A51">
        <w:tc>
          <w:tcPr>
            <w:tcW w:w="10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A51" w:rsidRDefault="008F616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Metodi e strategie didattiche </w:t>
            </w:r>
          </w:p>
          <w:p w:rsidR="00C64A51" w:rsidRDefault="008F616A">
            <w:pPr>
              <w:shd w:val="clear" w:color="auto" w:fill="FFFFFF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(in particolare indicare quelle finalizzate a mantenere l’interesse, a sviluppare la motivazione all’apprendimento, al recupero di conoscenze e abilità, al raggiungimento di obiettivi di competenza)</w:t>
            </w: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Le lezioni verranno affrontate con modalità in parte frontale (sia in presenza che DDI), fornendo schemi di lavoro e metodologie per affrontare lo studio della materia, in parte con modalità di lezioni partecipate.</w:t>
            </w:r>
          </w:p>
          <w:p w:rsidR="00C64A51" w:rsidRDefault="008F61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Verranno utilizzati il libro di testo, presentazioni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power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point, video e dispense.</w:t>
            </w: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C64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:rsidR="00C64A51" w:rsidRDefault="00C64A51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Mar>
              <w:left w:w="0" w:type="dxa"/>
              <w:right w:w="0" w:type="dxa"/>
            </w:tcMar>
          </w:tcPr>
          <w:p w:rsidR="00C64A51" w:rsidRDefault="00C64A51"/>
        </w:tc>
      </w:tr>
    </w:tbl>
    <w:p w:rsidR="00C64A51" w:rsidRDefault="00C64A51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386CA3" w:rsidRDefault="00386CA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Pisa 25 giugno 2021</w:t>
      </w:r>
      <w:r w:rsidR="008F616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86CA3" w:rsidRDefault="00386CA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Alessandra Salvadorini</w:t>
      </w:r>
      <w:r w:rsidR="008F616A">
        <w:rPr>
          <w:rFonts w:ascii="Arial" w:eastAsia="Arial" w:hAnsi="Arial" w:cs="Arial"/>
          <w:sz w:val="20"/>
          <w:szCs w:val="20"/>
        </w:rPr>
        <w:t xml:space="preserve">      </w:t>
      </w:r>
    </w:p>
    <w:p w:rsidR="00C64A51" w:rsidRDefault="00386CA3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>Viviana Guadagni</w:t>
      </w:r>
      <w:r w:rsidR="008F616A">
        <w:rPr>
          <w:rFonts w:ascii="Arial" w:eastAsia="Arial" w:hAnsi="Arial" w:cs="Arial"/>
          <w:sz w:val="20"/>
          <w:szCs w:val="20"/>
        </w:rPr>
        <w:t xml:space="preserve"> </w:t>
      </w:r>
      <w:r w:rsidR="008F616A">
        <w:rPr>
          <w:rFonts w:ascii="Arial" w:eastAsia="Arial" w:hAnsi="Arial" w:cs="Arial"/>
          <w:sz w:val="20"/>
          <w:szCs w:val="20"/>
        </w:rPr>
        <w:t xml:space="preserve">               </w:t>
      </w:r>
    </w:p>
    <w:sectPr w:rsidR="00C64A51">
      <w:pgSz w:w="11906" w:h="16838"/>
      <w:pgMar w:top="426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5A96"/>
    <w:multiLevelType w:val="multilevel"/>
    <w:tmpl w:val="F32EF48A"/>
    <w:lvl w:ilvl="0">
      <w:start w:val="4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40640287"/>
    <w:multiLevelType w:val="multilevel"/>
    <w:tmpl w:val="4D54E29E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1E5081"/>
    <w:multiLevelType w:val="multilevel"/>
    <w:tmpl w:val="51DA77C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69E70DBA"/>
    <w:multiLevelType w:val="multilevel"/>
    <w:tmpl w:val="9A02AAB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51"/>
    <w:rsid w:val="00386CA3"/>
    <w:rsid w:val="008F616A"/>
    <w:rsid w:val="00C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84C02"/>
  <w15:docId w15:val="{4799F341-9825-48C1-829B-EB0DB1D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Calibri"/>
      <w:lang w:eastAsia="ar-SA"/>
    </w:rPr>
  </w:style>
  <w:style w:type="paragraph" w:styleId="Titolo1">
    <w:name w:val="heading 1"/>
    <w:basedOn w:val="Normale"/>
    <w:next w:val="Corpotesto"/>
    <w:qFormat/>
    <w:pPr>
      <w:keepNext/>
      <w:spacing w:before="100" w:after="100"/>
      <w:ind w:left="432" w:hanging="432"/>
      <w:jc w:val="center"/>
      <w:outlineLvl w:val="0"/>
    </w:pPr>
    <w:rPr>
      <w:rFonts w:ascii="Tahoma" w:eastAsia="Tahoma" w:hAnsi="Tahoma" w:cs="Tahoma"/>
      <w:b/>
      <w:i/>
      <w:sz w:val="24"/>
    </w:rPr>
  </w:style>
  <w:style w:type="paragraph" w:styleId="Titolo2">
    <w:name w:val="heading 2"/>
    <w:basedOn w:val="LO-normal"/>
    <w:next w:val="Corpotesto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Corpotesto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spacing w:before="100" w:after="100"/>
      <w:ind w:left="864" w:hanging="864"/>
      <w:outlineLvl w:val="3"/>
    </w:pPr>
    <w:rPr>
      <w:rFonts w:ascii="Tahoma" w:eastAsia="Tahoma" w:hAnsi="Tahoma" w:cs="Tahoma"/>
      <w:b/>
      <w:sz w:val="20"/>
    </w:rPr>
  </w:style>
  <w:style w:type="paragraph" w:styleId="Titolo5">
    <w:name w:val="heading 5"/>
    <w:basedOn w:val="LO-normal"/>
    <w:next w:val="Corpotesto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Corpotesto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LO-normal"/>
    <w:next w:val="Sottotitolo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Calibri" w:eastAsia="Calibri" w:hAnsi="Calibri" w:cs="Times New Roman"/>
      <w:sz w:val="24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basedOn w:val="Carpredefinitoparagrafo1"/>
    <w:qFormat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qFormat/>
    <w:rPr>
      <w:rFonts w:ascii="Tahoma" w:eastAsia="Times New Roman" w:hAnsi="Tahoma" w:cs="Tahoma"/>
      <w:b/>
      <w:color w:val="000000"/>
      <w:sz w:val="20"/>
    </w:rPr>
  </w:style>
  <w:style w:type="character" w:customStyle="1" w:styleId="Caratterinotaapidipagina">
    <w:name w:val="Caratteri nota a piè di pagina"/>
    <w:basedOn w:val="Carpredefinitoparagrafo1"/>
    <w:qFormat/>
    <w:rPr>
      <w:vertAlign w:val="superscript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qFormat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qFormat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qFormat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Testonotaapidipagina">
    <w:name w:val="footnote text"/>
    <w:basedOn w:val="Normale"/>
    <w:qFormat/>
    <w:rPr>
      <w:sz w:val="20"/>
    </w:rPr>
  </w:style>
  <w:style w:type="paragraph" w:customStyle="1" w:styleId="Intestazione1">
    <w:name w:val="Intestazione1"/>
    <w:basedOn w:val="Normale"/>
    <w:qFormat/>
    <w:pPr>
      <w:tabs>
        <w:tab w:val="center" w:pos="4819"/>
        <w:tab w:val="right" w:pos="9638"/>
      </w:tabs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  <w:rPr>
      <w:rFonts w:ascii="Cambria" w:eastAsia="Cambria" w:hAnsi="Cambria" w:cs="Cambria"/>
      <w:sz w:val="24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Sezione2">
    <w:name w:val="Sezione2"/>
    <w:basedOn w:val="Normale"/>
    <w:rsid w:val="00330903"/>
    <w:pPr>
      <w:shd w:val="clear" w:color="auto" w:fill="F2F2F2"/>
      <w:spacing w:before="240"/>
    </w:pPr>
    <w:rPr>
      <w:rFonts w:cs="Times New Roman"/>
      <w:sz w:val="32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+GrlGsNZrkCoF1cy+y91rRQt3g==">AMUW2mX9HaijoFGS6/Gx2HioBRhoVW51pzGIErfKXcBMhh/j6k8spvpBgNYahN2AGGH9x5X/eLMC1BDuSFntOOIhglwVZfa1VlYaKrF7tKiy60OkgxfTlRcAI6o8lDRLQtSOR7MnDrSB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1338</Words>
  <Characters>7630</Characters>
  <Application>Microsoft Office Word</Application>
  <DocSecurity>0</DocSecurity>
  <Lines>63</Lines>
  <Paragraphs>17</Paragraphs>
  <ScaleCrop>false</ScaleCrop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viviana guadagni</cp:lastModifiedBy>
  <cp:revision>3</cp:revision>
  <dcterms:created xsi:type="dcterms:W3CDTF">2021-06-11T13:18:00Z</dcterms:created>
  <dcterms:modified xsi:type="dcterms:W3CDTF">2021-06-25T07:50:00Z</dcterms:modified>
</cp:coreProperties>
</file>